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spacing w:before="156" w:after="156"/>
        <w:ind w:firstLine="883"/>
        <w:jc w:val="center"/>
        <w:rPr>
          <w:b/>
          <w:sz w:val="72"/>
          <w:szCs w:val="72"/>
        </w:rPr>
      </w:pPr>
    </w:p>
    <w:p>
      <w:pPr>
        <w:pStyle w:val="17"/>
        <w:spacing w:before="156" w:after="156"/>
        <w:ind w:firstLine="883"/>
        <w:jc w:val="center"/>
        <w:rPr>
          <w:b/>
          <w:sz w:val="72"/>
          <w:szCs w:val="72"/>
        </w:rPr>
      </w:pPr>
    </w:p>
    <w:p>
      <w:pPr>
        <w:pStyle w:val="17"/>
        <w:spacing w:before="156" w:after="156"/>
        <w:ind w:firstLine="883"/>
        <w:jc w:val="center"/>
        <w:rPr>
          <w:b/>
          <w:sz w:val="72"/>
          <w:szCs w:val="72"/>
        </w:rPr>
      </w:pPr>
    </w:p>
    <w:p>
      <w:pPr>
        <w:pStyle w:val="17"/>
        <w:spacing w:before="156" w:after="156"/>
        <w:jc w:val="center"/>
        <w:rPr>
          <w:rFonts w:hint="default"/>
          <w:b/>
          <w:sz w:val="72"/>
          <w:szCs w:val="72"/>
          <w:lang w:val="en-US" w:eastAsia="zh-CN"/>
        </w:rPr>
      </w:pPr>
      <w:r>
        <w:rPr>
          <w:rFonts w:hint="eastAsia"/>
          <w:b/>
          <w:sz w:val="72"/>
          <w:szCs w:val="72"/>
          <w:lang w:val="en-US" w:eastAsia="zh-CN"/>
        </w:rPr>
        <w:t>2022年“暑期教师研修”</w:t>
      </w:r>
    </w:p>
    <w:p>
      <w:pPr>
        <w:pStyle w:val="17"/>
        <w:spacing w:before="156" w:after="156"/>
        <w:jc w:val="center"/>
        <w:rPr>
          <w:b/>
          <w:sz w:val="72"/>
          <w:szCs w:val="72"/>
        </w:rPr>
      </w:pPr>
      <w:r>
        <w:rPr>
          <w:rFonts w:hint="eastAsia"/>
          <w:b/>
          <w:sz w:val="72"/>
          <w:szCs w:val="72"/>
          <w:lang w:val="en-US" w:eastAsia="zh-CN"/>
        </w:rPr>
        <w:t>学习</w:t>
      </w:r>
      <w:r>
        <w:rPr>
          <w:rFonts w:hint="eastAsia"/>
          <w:b/>
          <w:sz w:val="72"/>
          <w:szCs w:val="72"/>
        </w:rPr>
        <w:t>操作手册</w:t>
      </w:r>
    </w:p>
    <w:p>
      <w:pPr>
        <w:pStyle w:val="17"/>
        <w:spacing w:before="156" w:after="156"/>
        <w:jc w:val="center"/>
        <w:rPr>
          <w:b/>
          <w:sz w:val="72"/>
          <w:szCs w:val="72"/>
        </w:rPr>
      </w:pPr>
      <w:r>
        <w:rPr>
          <w:rFonts w:hint="eastAsia"/>
          <w:b/>
          <w:sz w:val="44"/>
          <w:szCs w:val="44"/>
        </w:rPr>
        <w:t>【</w:t>
      </w:r>
      <w:r>
        <w:rPr>
          <w:rFonts w:hint="eastAsia"/>
          <w:b/>
          <w:sz w:val="44"/>
          <w:szCs w:val="44"/>
          <w:lang w:val="en-US" w:eastAsia="zh-CN"/>
        </w:rPr>
        <w:t>高教教师</w:t>
      </w:r>
      <w:r>
        <w:rPr>
          <w:rFonts w:hint="eastAsia"/>
          <w:b/>
          <w:sz w:val="44"/>
          <w:szCs w:val="44"/>
        </w:rPr>
        <w:t>篇】</w:t>
      </w:r>
    </w:p>
    <w:p>
      <w:pPr>
        <w:jc w:val="center"/>
      </w:pPr>
    </w:p>
    <w:p/>
    <w:p/>
    <w:p/>
    <w:p/>
    <w:p/>
    <w:p/>
    <w:p/>
    <w:p/>
    <w:p/>
    <w:p/>
    <w:p/>
    <w:p/>
    <w:p>
      <w:pPr>
        <w:pStyle w:val="17"/>
        <w:spacing w:before="156" w:after="156"/>
        <w:ind w:firstLine="643"/>
        <w:jc w:val="center"/>
        <w:rPr>
          <w:b/>
          <w:sz w:val="32"/>
          <w:szCs w:val="32"/>
        </w:rPr>
      </w:pPr>
    </w:p>
    <w:p/>
    <w:p/>
    <w:p/>
    <w:p/>
    <w:p/>
    <w:p/>
    <w:p/>
    <w:p/>
    <w:p/>
    <w:sdt>
      <w:sdtPr>
        <w:rPr>
          <w:rFonts w:asciiTheme="minorHAnsi" w:hAnsiTheme="minorHAnsi" w:eastAsiaTheme="minorEastAsia" w:cstheme="minorBidi"/>
          <w:color w:val="auto"/>
          <w:kern w:val="2"/>
          <w:sz w:val="21"/>
          <w:szCs w:val="22"/>
          <w:lang w:val="zh-CN"/>
        </w:rPr>
        <w:id w:val="1251545946"/>
        <w:docPartObj>
          <w:docPartGallery w:val="Table of Contents"/>
          <w:docPartUnique/>
        </w:docPartObj>
      </w:sdtPr>
      <w:sdtEndPr>
        <w:rPr>
          <w:rFonts w:asciiTheme="minorHAnsi" w:hAnsiTheme="minorHAnsi" w:eastAsiaTheme="minorEastAsia" w:cstheme="minorBidi"/>
          <w:b/>
          <w:bCs/>
          <w:color w:val="auto"/>
          <w:kern w:val="2"/>
          <w:sz w:val="21"/>
          <w:szCs w:val="22"/>
          <w:lang w:val="zh-CN"/>
        </w:rPr>
      </w:sdtEndPr>
      <w:sdtContent>
        <w:p>
          <w:pPr>
            <w:pStyle w:val="26"/>
          </w:pPr>
          <w:r>
            <w:rPr>
              <w:lang w:val="zh-CN"/>
            </w:rPr>
            <w:t>目录</w:t>
          </w:r>
        </w:p>
        <w:p>
          <w:pPr>
            <w:pStyle w:val="12"/>
            <w:tabs>
              <w:tab w:val="right" w:leader="dot" w:pos="8306"/>
            </w:tabs>
          </w:pPr>
          <w:r>
            <w:fldChar w:fldCharType="begin"/>
          </w:r>
          <w:r>
            <w:instrText xml:space="preserve"> TOC \o "1-3" \h \z \u </w:instrText>
          </w:r>
          <w:r>
            <w:fldChar w:fldCharType="separate"/>
          </w:r>
          <w:r>
            <w:fldChar w:fldCharType="begin"/>
          </w:r>
          <w:r>
            <w:instrText xml:space="preserve"> HYPERLINK \l _Toc7916 </w:instrText>
          </w:r>
          <w:r>
            <w:fldChar w:fldCharType="separate"/>
          </w:r>
          <w:r>
            <w:rPr>
              <w:rFonts w:hint="default"/>
              <w:szCs w:val="40"/>
            </w:rPr>
            <w:t xml:space="preserve">第一章 </w:t>
          </w:r>
          <w:r>
            <w:rPr>
              <w:rFonts w:hint="eastAsia"/>
              <w:szCs w:val="40"/>
              <w:lang w:val="en-US" w:eastAsia="zh-CN"/>
            </w:rPr>
            <w:t>注册登录</w:t>
          </w:r>
          <w:r>
            <w:tab/>
          </w:r>
          <w:r>
            <w:fldChar w:fldCharType="begin"/>
          </w:r>
          <w:r>
            <w:instrText xml:space="preserve"> PAGEREF _Toc7916 \h </w:instrText>
          </w:r>
          <w:r>
            <w:fldChar w:fldCharType="separate"/>
          </w:r>
          <w:r>
            <w:t>2</w:t>
          </w:r>
          <w:r>
            <w:fldChar w:fldCharType="end"/>
          </w:r>
          <w:r>
            <w:fldChar w:fldCharType="end"/>
          </w:r>
        </w:p>
        <w:p>
          <w:pPr>
            <w:pStyle w:val="13"/>
            <w:tabs>
              <w:tab w:val="right" w:leader="dot" w:pos="8306"/>
            </w:tabs>
          </w:pPr>
          <w:r>
            <w:rPr>
              <w:bCs/>
              <w:lang w:val="zh-CN"/>
            </w:rPr>
            <w:fldChar w:fldCharType="begin"/>
          </w:r>
          <w:r>
            <w:rPr>
              <w:bCs/>
              <w:lang w:val="zh-CN"/>
            </w:rPr>
            <w:instrText xml:space="preserve"> HYPERLINK \l _Toc21549 </w:instrText>
          </w:r>
          <w:r>
            <w:rPr>
              <w:bCs/>
              <w:lang w:val="zh-CN"/>
            </w:rPr>
            <w:fldChar w:fldCharType="separate"/>
          </w:r>
          <w:r>
            <w:rPr>
              <w:rFonts w:hint="eastAsia"/>
              <w:lang w:val="en-US" w:eastAsia="zh-CN"/>
            </w:rPr>
            <w:t>1.1专题页面</w:t>
          </w:r>
          <w:r>
            <w:tab/>
          </w:r>
          <w:r>
            <w:fldChar w:fldCharType="begin"/>
          </w:r>
          <w:r>
            <w:instrText xml:space="preserve"> PAGEREF _Toc21549 \h </w:instrText>
          </w:r>
          <w:r>
            <w:fldChar w:fldCharType="separate"/>
          </w:r>
          <w:r>
            <w:t>2</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_Toc22346 </w:instrText>
          </w:r>
          <w:r>
            <w:rPr>
              <w:bCs/>
              <w:lang w:val="zh-CN"/>
            </w:rPr>
            <w:fldChar w:fldCharType="separate"/>
          </w:r>
          <w:r>
            <w:rPr>
              <w:rFonts w:hint="eastAsia"/>
              <w:lang w:val="en-US" w:eastAsia="zh-CN"/>
            </w:rPr>
            <w:t>1.2注册</w:t>
          </w:r>
          <w:r>
            <w:tab/>
          </w:r>
          <w:r>
            <w:fldChar w:fldCharType="begin"/>
          </w:r>
          <w:r>
            <w:instrText xml:space="preserve"> PAGEREF _Toc22346 \h </w:instrText>
          </w:r>
          <w:r>
            <w:fldChar w:fldCharType="separate"/>
          </w:r>
          <w:r>
            <w:t>3</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_Toc12551 </w:instrText>
          </w:r>
          <w:r>
            <w:rPr>
              <w:bCs/>
              <w:lang w:val="zh-CN"/>
            </w:rPr>
            <w:fldChar w:fldCharType="separate"/>
          </w:r>
          <w:r>
            <w:rPr>
              <w:rFonts w:hint="eastAsia"/>
              <w:lang w:val="en-US" w:eastAsia="zh-CN"/>
            </w:rPr>
            <w:t>1.3登录</w:t>
          </w:r>
          <w:r>
            <w:tab/>
          </w:r>
          <w:r>
            <w:fldChar w:fldCharType="begin"/>
          </w:r>
          <w:r>
            <w:instrText xml:space="preserve"> PAGEREF _Toc12551 \h </w:instrText>
          </w:r>
          <w:r>
            <w:fldChar w:fldCharType="separate"/>
          </w:r>
          <w:r>
            <w:t>4</w:t>
          </w:r>
          <w:r>
            <w:fldChar w:fldCharType="end"/>
          </w:r>
          <w:r>
            <w:rPr>
              <w:bCs/>
              <w:lang w:val="zh-CN"/>
            </w:rPr>
            <w:fldChar w:fldCharType="end"/>
          </w:r>
        </w:p>
        <w:p>
          <w:pPr>
            <w:pStyle w:val="12"/>
            <w:tabs>
              <w:tab w:val="right" w:leader="dot" w:pos="8306"/>
            </w:tabs>
          </w:pPr>
          <w:r>
            <w:rPr>
              <w:bCs/>
              <w:lang w:val="zh-CN"/>
            </w:rPr>
            <w:fldChar w:fldCharType="begin"/>
          </w:r>
          <w:r>
            <w:rPr>
              <w:bCs/>
              <w:lang w:val="zh-CN"/>
            </w:rPr>
            <w:instrText xml:space="preserve"> HYPERLINK \l _Toc22407 </w:instrText>
          </w:r>
          <w:r>
            <w:rPr>
              <w:bCs/>
              <w:lang w:val="zh-CN"/>
            </w:rPr>
            <w:fldChar w:fldCharType="separate"/>
          </w:r>
          <w:r>
            <w:rPr>
              <w:rFonts w:hint="default"/>
              <w:szCs w:val="40"/>
            </w:rPr>
            <w:t xml:space="preserve">第二章 </w:t>
          </w:r>
          <w:r>
            <w:rPr>
              <w:rFonts w:hint="eastAsia"/>
              <w:szCs w:val="40"/>
              <w:lang w:val="en-US" w:eastAsia="zh-CN"/>
            </w:rPr>
            <w:t>研修学习</w:t>
          </w:r>
          <w:r>
            <w:tab/>
          </w:r>
          <w:r>
            <w:fldChar w:fldCharType="begin"/>
          </w:r>
          <w:r>
            <w:instrText xml:space="preserve"> PAGEREF _Toc22407 \h </w:instrText>
          </w:r>
          <w:r>
            <w:fldChar w:fldCharType="separate"/>
          </w:r>
          <w:r>
            <w:t>5</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_Toc29198 </w:instrText>
          </w:r>
          <w:r>
            <w:rPr>
              <w:bCs/>
              <w:lang w:val="zh-CN"/>
            </w:rPr>
            <w:fldChar w:fldCharType="separate"/>
          </w:r>
          <w:r>
            <w:rPr>
              <w:rFonts w:hint="eastAsia"/>
              <w:lang w:val="en-US" w:eastAsia="zh-CN"/>
            </w:rPr>
            <w:t>2.1 研修时间</w:t>
          </w:r>
          <w:r>
            <w:tab/>
          </w:r>
          <w:r>
            <w:fldChar w:fldCharType="begin"/>
          </w:r>
          <w:r>
            <w:instrText xml:space="preserve"> PAGEREF _Toc29198 \h </w:instrText>
          </w:r>
          <w:r>
            <w:fldChar w:fldCharType="separate"/>
          </w:r>
          <w:r>
            <w:t>5</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_Toc15573 </w:instrText>
          </w:r>
          <w:r>
            <w:rPr>
              <w:bCs/>
              <w:lang w:val="zh-CN"/>
            </w:rPr>
            <w:fldChar w:fldCharType="separate"/>
          </w:r>
          <w:r>
            <w:rPr>
              <w:rFonts w:hint="eastAsia"/>
              <w:lang w:val="en-US" w:eastAsia="zh-CN"/>
            </w:rPr>
            <w:t>2.2 研修内容</w:t>
          </w:r>
          <w:r>
            <w:tab/>
          </w:r>
          <w:r>
            <w:fldChar w:fldCharType="begin"/>
          </w:r>
          <w:r>
            <w:instrText xml:space="preserve"> PAGEREF _Toc15573 \h </w:instrText>
          </w:r>
          <w:r>
            <w:fldChar w:fldCharType="separate"/>
          </w:r>
          <w:r>
            <w:t>5</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_Toc25 </w:instrText>
          </w:r>
          <w:r>
            <w:rPr>
              <w:bCs/>
              <w:lang w:val="zh-CN"/>
            </w:rPr>
            <w:fldChar w:fldCharType="separate"/>
          </w:r>
          <w:r>
            <w:rPr>
              <w:rFonts w:hint="eastAsia"/>
              <w:lang w:val="en-US" w:eastAsia="zh-CN"/>
            </w:rPr>
            <w:t>2.3 研修课程</w:t>
          </w:r>
          <w:r>
            <w:tab/>
          </w:r>
          <w:r>
            <w:fldChar w:fldCharType="begin"/>
          </w:r>
          <w:r>
            <w:instrText xml:space="preserve"> PAGEREF _Toc25 \h </w:instrText>
          </w:r>
          <w:r>
            <w:fldChar w:fldCharType="separate"/>
          </w:r>
          <w:r>
            <w:t>5</w:t>
          </w:r>
          <w:r>
            <w:fldChar w:fldCharType="end"/>
          </w:r>
          <w:r>
            <w:rPr>
              <w:bCs/>
              <w:lang w:val="zh-CN"/>
            </w:rPr>
            <w:fldChar w:fldCharType="end"/>
          </w:r>
        </w:p>
        <w:p>
          <w:pPr>
            <w:pStyle w:val="12"/>
            <w:tabs>
              <w:tab w:val="right" w:leader="dot" w:pos="8306"/>
            </w:tabs>
          </w:pPr>
          <w:r>
            <w:rPr>
              <w:bCs/>
              <w:lang w:val="zh-CN"/>
            </w:rPr>
            <w:fldChar w:fldCharType="begin"/>
          </w:r>
          <w:r>
            <w:rPr>
              <w:bCs/>
              <w:lang w:val="zh-CN"/>
            </w:rPr>
            <w:instrText xml:space="preserve"> HYPERLINK \l _Toc13171 </w:instrText>
          </w:r>
          <w:r>
            <w:rPr>
              <w:bCs/>
              <w:lang w:val="zh-CN"/>
            </w:rPr>
            <w:fldChar w:fldCharType="separate"/>
          </w:r>
          <w:r>
            <w:rPr>
              <w:rFonts w:hint="default"/>
              <w:szCs w:val="40"/>
            </w:rPr>
            <w:t xml:space="preserve">第三章 </w:t>
          </w:r>
          <w:r>
            <w:rPr>
              <w:rFonts w:hint="eastAsia"/>
              <w:szCs w:val="40"/>
              <w:lang w:val="en-US" w:eastAsia="zh-CN"/>
            </w:rPr>
            <w:t>证书认证</w:t>
          </w:r>
          <w:r>
            <w:tab/>
          </w:r>
          <w:r>
            <w:fldChar w:fldCharType="begin"/>
          </w:r>
          <w:r>
            <w:instrText xml:space="preserve"> PAGEREF _Toc13171 \h </w:instrText>
          </w:r>
          <w:r>
            <w:fldChar w:fldCharType="separate"/>
          </w:r>
          <w:r>
            <w:t>7</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_Toc10792 </w:instrText>
          </w:r>
          <w:r>
            <w:rPr>
              <w:bCs/>
              <w:lang w:val="zh-CN"/>
            </w:rPr>
            <w:fldChar w:fldCharType="separate"/>
          </w:r>
          <w:r>
            <w:rPr>
              <w:rFonts w:hint="eastAsia"/>
              <w:lang w:val="en-US" w:eastAsia="zh-CN"/>
            </w:rPr>
            <w:t>2.1 学时认定</w:t>
          </w:r>
          <w:r>
            <w:tab/>
          </w:r>
          <w:r>
            <w:fldChar w:fldCharType="begin"/>
          </w:r>
          <w:r>
            <w:instrText xml:space="preserve"> PAGEREF _Toc10792 \h </w:instrText>
          </w:r>
          <w:r>
            <w:fldChar w:fldCharType="separate"/>
          </w:r>
          <w:r>
            <w:t>7</w:t>
          </w:r>
          <w:r>
            <w:fldChar w:fldCharType="end"/>
          </w:r>
          <w:r>
            <w:rPr>
              <w:bCs/>
              <w:lang w:val="zh-CN"/>
            </w:rPr>
            <w:fldChar w:fldCharType="end"/>
          </w:r>
        </w:p>
        <w:p>
          <w:pPr>
            <w:pStyle w:val="13"/>
            <w:tabs>
              <w:tab w:val="right" w:leader="dot" w:pos="8306"/>
            </w:tabs>
          </w:pPr>
          <w:r>
            <w:rPr>
              <w:bCs/>
              <w:lang w:val="zh-CN"/>
            </w:rPr>
            <w:fldChar w:fldCharType="begin"/>
          </w:r>
          <w:r>
            <w:rPr>
              <w:bCs/>
              <w:lang w:val="zh-CN"/>
            </w:rPr>
            <w:instrText xml:space="preserve"> HYPERLINK \l _Toc15149 </w:instrText>
          </w:r>
          <w:r>
            <w:rPr>
              <w:bCs/>
              <w:lang w:val="zh-CN"/>
            </w:rPr>
            <w:fldChar w:fldCharType="separate"/>
          </w:r>
          <w:r>
            <w:rPr>
              <w:rFonts w:hint="eastAsia"/>
              <w:lang w:val="en-US" w:eastAsia="zh-CN"/>
            </w:rPr>
            <w:t>2.2 结业证书</w:t>
          </w:r>
          <w:r>
            <w:tab/>
          </w:r>
          <w:r>
            <w:fldChar w:fldCharType="begin"/>
          </w:r>
          <w:r>
            <w:instrText xml:space="preserve"> PAGEREF _Toc15149 \h </w:instrText>
          </w:r>
          <w:r>
            <w:fldChar w:fldCharType="separate"/>
          </w:r>
          <w:r>
            <w:t>7</w:t>
          </w:r>
          <w:r>
            <w:fldChar w:fldCharType="end"/>
          </w:r>
          <w:r>
            <w:rPr>
              <w:bCs/>
              <w:lang w:val="zh-CN"/>
            </w:rPr>
            <w:fldChar w:fldCharType="end"/>
          </w:r>
        </w:p>
        <w:p>
          <w:r>
            <w:rPr>
              <w:bCs/>
              <w:lang w:val="zh-CN"/>
            </w:rPr>
            <w:fldChar w:fldCharType="end"/>
          </w:r>
        </w:p>
      </w:sdtContent>
    </w:sdt>
    <w:p>
      <w:pPr>
        <w:pStyle w:val="2"/>
        <w:numPr>
          <w:ilvl w:val="0"/>
          <w:numId w:val="1"/>
        </w:numPr>
        <w:rPr>
          <w:sz w:val="40"/>
          <w:szCs w:val="40"/>
        </w:rPr>
      </w:pPr>
      <w:bookmarkStart w:id="0" w:name="_Toc7916"/>
      <w:r>
        <w:rPr>
          <w:rFonts w:hint="eastAsia"/>
          <w:sz w:val="40"/>
          <w:szCs w:val="40"/>
          <w:lang w:val="en-US" w:eastAsia="zh-CN"/>
        </w:rPr>
        <w:t>注册登录</w:t>
      </w:r>
      <w:bookmarkEnd w:id="0"/>
    </w:p>
    <w:p>
      <w:pPr>
        <w:pStyle w:val="3"/>
        <w:numPr>
          <w:ilvl w:val="0"/>
          <w:numId w:val="0"/>
        </w:numPr>
        <w:ind w:left="425" w:leftChars="0"/>
        <w:rPr>
          <w:rFonts w:hint="default"/>
          <w:lang w:val="en-US" w:eastAsia="zh-CN"/>
        </w:rPr>
      </w:pPr>
      <w:bookmarkStart w:id="1" w:name="_Toc21549"/>
      <w:r>
        <w:rPr>
          <w:rFonts w:hint="eastAsia"/>
          <w:lang w:val="en-US" w:eastAsia="zh-CN"/>
        </w:rPr>
        <w:t>1.1专题页面</w:t>
      </w:r>
      <w:bookmarkEnd w:id="1"/>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第一步：请使用电脑端访问网址：www.smartedu.cn，在页面顶部的轮播图中，点击“暑期教师研修”轮播图，进入暑期教师研修专题网站。</w:t>
      </w:r>
    </w:p>
    <w:p>
      <w:r>
        <w:drawing>
          <wp:inline distT="0" distB="0" distL="114300" distR="114300">
            <wp:extent cx="5270500" cy="2089150"/>
            <wp:effectExtent l="9525" t="9525" r="15875" b="158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5270500" cy="2089150"/>
                    </a:xfrm>
                    <a:prstGeom prst="rect">
                      <a:avLst/>
                    </a:prstGeom>
                    <a:ln>
                      <a:solidFill>
                        <a:schemeClr val="tx1"/>
                      </a:solid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第二步：在暑期研修专题页，点击“高等教育”中的课程名称，进入高教暑期研修学习页面。</w:t>
      </w:r>
    </w:p>
    <w:p>
      <w:pPr>
        <w:jc w:val="center"/>
        <w:rPr>
          <w:rFonts w:hint="eastAsia"/>
          <w:lang w:val="en-US" w:eastAsia="zh-CN"/>
        </w:rPr>
      </w:pPr>
      <w:r>
        <w:drawing>
          <wp:inline distT="0" distB="0" distL="114300" distR="114300">
            <wp:extent cx="5270500" cy="3031490"/>
            <wp:effectExtent l="9525" t="9525" r="15875" b="165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5270500" cy="3031490"/>
                    </a:xfrm>
                    <a:prstGeom prst="rect">
                      <a:avLst/>
                    </a:prstGeom>
                    <a:ln>
                      <a:solidFill>
                        <a:schemeClr val="tx1"/>
                      </a:solidFill>
                    </a:ln>
                  </pic:spPr>
                </pic:pic>
              </a:graphicData>
            </a:graphic>
          </wp:inline>
        </w:drawing>
      </w:r>
    </w:p>
    <w:p>
      <w:pPr>
        <w:pStyle w:val="3"/>
        <w:numPr>
          <w:ilvl w:val="0"/>
          <w:numId w:val="0"/>
        </w:numPr>
        <w:ind w:left="425" w:leftChars="0"/>
        <w:rPr>
          <w:rFonts w:hint="eastAsia"/>
          <w:lang w:val="en-US" w:eastAsia="zh-CN"/>
        </w:rPr>
      </w:pPr>
      <w:bookmarkStart w:id="2" w:name="_Toc22346"/>
      <w:r>
        <w:rPr>
          <w:rFonts w:hint="eastAsia"/>
          <w:lang w:val="en-US" w:eastAsia="zh-CN"/>
        </w:rPr>
        <w:t>1.2注册</w:t>
      </w:r>
      <w:bookmarkEnd w:id="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在暑期研修专题页右上角可以进行注册。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根据页面提示，填写手机号、验证码、姓名、身份证号、学校名称等完成注册。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请认真填写真实个人信息，涉及认定培训学时和打印学习证书。</w:t>
      </w:r>
    </w:p>
    <w:p>
      <w:pPr>
        <w:jc w:val="center"/>
        <w:rPr>
          <w:rFonts w:hint="eastAsia"/>
          <w:sz w:val="24"/>
          <w:szCs w:val="24"/>
          <w:lang w:val="en-US" w:eastAsia="zh-CN"/>
        </w:rPr>
      </w:pPr>
      <w:r>
        <w:drawing>
          <wp:inline distT="0" distB="0" distL="114300" distR="114300">
            <wp:extent cx="5269865" cy="1202055"/>
            <wp:effectExtent l="9525" t="9525" r="16510" b="171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5269865" cy="1202055"/>
                    </a:xfrm>
                    <a:prstGeom prst="rect">
                      <a:avLst/>
                    </a:prstGeom>
                    <a:ln>
                      <a:solidFill>
                        <a:schemeClr val="tx1"/>
                      </a:solidFill>
                    </a:ln>
                  </pic:spPr>
                </pic:pic>
              </a:graphicData>
            </a:graphic>
          </wp:inline>
        </w:drawing>
      </w:r>
    </w:p>
    <w:p>
      <w:pPr>
        <w:jc w:val="center"/>
        <w:rPr>
          <w:rFonts w:hint="eastAsia"/>
          <w:lang w:val="en-US" w:eastAsia="zh-CN"/>
        </w:rPr>
      </w:pPr>
      <w:r>
        <w:drawing>
          <wp:inline distT="0" distB="0" distL="114300" distR="114300">
            <wp:extent cx="3776980" cy="3457575"/>
            <wp:effectExtent l="9525" t="9525" r="13970" b="952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3776980" cy="3457575"/>
                    </a:xfrm>
                    <a:prstGeom prst="rect">
                      <a:avLst/>
                    </a:prstGeom>
                    <a:ln>
                      <a:solidFill>
                        <a:schemeClr val="tx1"/>
                      </a:solidFill>
                    </a:ln>
                  </pic:spPr>
                </pic:pic>
              </a:graphicData>
            </a:graphic>
          </wp:inline>
        </w:drawing>
      </w:r>
    </w:p>
    <w:p>
      <w:pPr>
        <w:rPr>
          <w:rFonts w:hint="eastAsia"/>
          <w:lang w:val="en-US" w:eastAsia="zh-CN"/>
        </w:rPr>
      </w:pPr>
      <w:r>
        <w:rPr>
          <w:rFonts w:hint="eastAsia"/>
          <w:lang w:val="en-US" w:eastAsia="zh-CN"/>
        </w:rPr>
        <w:t>注：1.填写学校信息时，若无法搜索到您的学校，请点击蓝字提示手动填写。</w:t>
      </w:r>
    </w:p>
    <w:p>
      <w:pPr>
        <w:rPr>
          <w:rFonts w:hint="default"/>
          <w:lang w:val="en-US" w:eastAsia="zh-CN"/>
        </w:rPr>
      </w:pPr>
      <w:r>
        <w:rPr>
          <w:rFonts w:hint="eastAsia"/>
          <w:lang w:val="en-US" w:eastAsia="zh-CN"/>
        </w:rPr>
        <w:t xml:space="preserve">    2.若显示手机号码已注册，忘记了登录密码，可点击登录页面的忘记密码，输入手机号+验证码，重置密码后使用新密码再登录。</w:t>
      </w:r>
    </w:p>
    <w:p>
      <w:pPr>
        <w:pStyle w:val="3"/>
        <w:numPr>
          <w:ilvl w:val="0"/>
          <w:numId w:val="0"/>
        </w:numPr>
        <w:ind w:left="425" w:leftChars="0"/>
        <w:rPr>
          <w:rFonts w:hint="default"/>
          <w:lang w:val="en-US" w:eastAsia="zh-CN"/>
        </w:rPr>
      </w:pPr>
      <w:bookmarkStart w:id="3" w:name="_Toc12551"/>
      <w:r>
        <w:rPr>
          <w:rFonts w:hint="eastAsia"/>
          <w:lang w:val="en-US" w:eastAsia="zh-CN"/>
        </w:rPr>
        <w:t>1.3登录</w:t>
      </w:r>
      <w:bookmarkEnd w:id="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注册完成后，下次访问高等教育暑期研修专题页学习时可使用注册时填写的的手机号与密码或使用手机验证码进行登录。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sz w:val="24"/>
          <w:szCs w:val="24"/>
          <w:lang w:val="en-US" w:eastAsia="zh-CN"/>
        </w:rPr>
      </w:pPr>
      <w:r>
        <w:rPr>
          <w:rFonts w:hint="eastAsia"/>
          <w:sz w:val="24"/>
          <w:szCs w:val="24"/>
          <w:lang w:val="en-US" w:eastAsia="zh-CN"/>
        </w:rPr>
        <w:t>如果已通过手机号注册过高等教育教师专业发展，请点击下方红字提示进行登录。</w:t>
      </w:r>
      <w:r>
        <w:drawing>
          <wp:inline distT="0" distB="0" distL="114300" distR="114300">
            <wp:extent cx="5269865" cy="1243965"/>
            <wp:effectExtent l="9525" t="9525" r="1651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9865" cy="1243965"/>
                    </a:xfrm>
                    <a:prstGeom prst="rect">
                      <a:avLst/>
                    </a:prstGeom>
                    <a:ln>
                      <a:solidFill>
                        <a:schemeClr val="tx1"/>
                      </a:solidFill>
                    </a:ln>
                  </pic:spPr>
                </pic:pic>
              </a:graphicData>
            </a:graphic>
          </wp:inline>
        </w:drawing>
      </w:r>
    </w:p>
    <w:p>
      <w:pPr>
        <w:jc w:val="center"/>
        <w:rPr>
          <w:rFonts w:hint="default"/>
          <w:sz w:val="24"/>
          <w:szCs w:val="24"/>
          <w:lang w:val="en-US" w:eastAsia="zh-CN"/>
        </w:rPr>
      </w:pPr>
      <w:r>
        <w:drawing>
          <wp:inline distT="0" distB="0" distL="114300" distR="114300">
            <wp:extent cx="2814955" cy="2500630"/>
            <wp:effectExtent l="9525" t="9525" r="13970" b="139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9"/>
                    <a:stretch>
                      <a:fillRect/>
                    </a:stretch>
                  </pic:blipFill>
                  <pic:spPr>
                    <a:xfrm>
                      <a:off x="0" y="0"/>
                      <a:ext cx="2814955" cy="2500630"/>
                    </a:xfrm>
                    <a:prstGeom prst="rect">
                      <a:avLst/>
                    </a:prstGeom>
                    <a:ln>
                      <a:solidFill>
                        <a:schemeClr val="tx1"/>
                      </a:solidFill>
                    </a:ln>
                  </pic:spPr>
                </pic:pic>
              </a:graphicData>
            </a:graphic>
          </wp:inline>
        </w:drawing>
      </w:r>
    </w:p>
    <w:p>
      <w:pPr>
        <w:pStyle w:val="20"/>
        <w:numPr>
          <w:ilvl w:val="0"/>
          <w:numId w:val="2"/>
        </w:numPr>
        <w:spacing w:before="156" w:after="156" w:line="415" w:lineRule="auto"/>
        <w:ind w:firstLineChars="0"/>
        <w:outlineLvl w:val="1"/>
        <w:rPr>
          <w:rFonts w:asciiTheme="majorHAnsi" w:hAnsiTheme="majorHAnsi" w:cstheme="majorBidi"/>
          <w:b/>
          <w:bCs/>
          <w:vanish/>
          <w:sz w:val="32"/>
          <w:szCs w:val="32"/>
        </w:rPr>
      </w:pPr>
      <w:bookmarkStart w:id="4" w:name="_Toc32509224"/>
      <w:bookmarkEnd w:id="4"/>
      <w:bookmarkStart w:id="5" w:name="_Toc32399661"/>
      <w:bookmarkEnd w:id="5"/>
      <w:bookmarkStart w:id="6" w:name="_Toc530732083"/>
      <w:bookmarkEnd w:id="6"/>
      <w:bookmarkStart w:id="7" w:name="_Toc32399737"/>
      <w:bookmarkEnd w:id="7"/>
      <w:bookmarkStart w:id="8" w:name="_Toc71642494"/>
      <w:bookmarkEnd w:id="8"/>
      <w:bookmarkStart w:id="9" w:name="_Toc33103352"/>
      <w:bookmarkEnd w:id="9"/>
      <w:bookmarkStart w:id="10" w:name="_Toc495934045"/>
      <w:bookmarkStart w:id="11" w:name="_Toc452998881"/>
    </w:p>
    <w:p>
      <w:pPr>
        <w:pStyle w:val="20"/>
        <w:numPr>
          <w:ilvl w:val="0"/>
          <w:numId w:val="2"/>
        </w:numPr>
        <w:spacing w:before="156" w:after="156" w:line="415" w:lineRule="auto"/>
        <w:ind w:firstLineChars="0"/>
        <w:outlineLvl w:val="1"/>
        <w:rPr>
          <w:rFonts w:asciiTheme="majorHAnsi" w:hAnsiTheme="majorHAnsi" w:cstheme="majorBidi"/>
          <w:b/>
          <w:bCs/>
          <w:vanish/>
          <w:sz w:val="32"/>
          <w:szCs w:val="32"/>
        </w:rPr>
      </w:pPr>
      <w:bookmarkStart w:id="12" w:name="_Toc33103353"/>
      <w:bookmarkEnd w:id="12"/>
      <w:bookmarkStart w:id="13" w:name="_Toc530732084"/>
      <w:bookmarkEnd w:id="13"/>
      <w:bookmarkStart w:id="14" w:name="_Toc32399662"/>
      <w:bookmarkEnd w:id="14"/>
      <w:bookmarkStart w:id="15" w:name="_Toc71642495"/>
      <w:bookmarkEnd w:id="15"/>
      <w:bookmarkStart w:id="16" w:name="_Toc32399738"/>
      <w:bookmarkEnd w:id="16"/>
      <w:bookmarkStart w:id="17" w:name="_Toc32509225"/>
      <w:bookmarkEnd w:id="17"/>
    </w:p>
    <w:p>
      <w:pPr>
        <w:pStyle w:val="2"/>
        <w:numPr>
          <w:ilvl w:val="0"/>
          <w:numId w:val="1"/>
        </w:numPr>
        <w:rPr>
          <w:sz w:val="40"/>
          <w:szCs w:val="40"/>
        </w:rPr>
      </w:pPr>
      <w:bookmarkStart w:id="18" w:name="_Toc22407"/>
      <w:r>
        <w:rPr>
          <w:rFonts w:hint="eastAsia"/>
          <w:sz w:val="40"/>
          <w:szCs w:val="40"/>
          <w:lang w:val="en-US" w:eastAsia="zh-CN"/>
        </w:rPr>
        <w:t>研修学习</w:t>
      </w:r>
      <w:bookmarkEnd w:id="18"/>
    </w:p>
    <w:p>
      <w:pPr>
        <w:pStyle w:val="20"/>
        <w:numPr>
          <w:ilvl w:val="0"/>
          <w:numId w:val="3"/>
        </w:numPr>
        <w:spacing w:before="260" w:after="260" w:line="415" w:lineRule="auto"/>
        <w:ind w:firstLineChars="0"/>
        <w:outlineLvl w:val="1"/>
        <w:rPr>
          <w:rFonts w:asciiTheme="majorHAnsi" w:hAnsiTheme="majorHAnsi" w:cstheme="majorBidi"/>
          <w:b/>
          <w:bCs/>
          <w:vanish/>
          <w:sz w:val="32"/>
          <w:szCs w:val="32"/>
        </w:rPr>
      </w:pPr>
      <w:bookmarkStart w:id="19" w:name="_Toc32509232"/>
      <w:bookmarkEnd w:id="19"/>
      <w:bookmarkStart w:id="20" w:name="_Toc33103360"/>
      <w:bookmarkEnd w:id="20"/>
      <w:bookmarkStart w:id="21" w:name="_Toc71642503"/>
      <w:bookmarkEnd w:id="21"/>
    </w:p>
    <w:p>
      <w:pPr>
        <w:pStyle w:val="20"/>
        <w:numPr>
          <w:ilvl w:val="0"/>
          <w:numId w:val="3"/>
        </w:numPr>
        <w:spacing w:before="260" w:after="260" w:line="415" w:lineRule="auto"/>
        <w:ind w:firstLineChars="0"/>
        <w:outlineLvl w:val="1"/>
        <w:rPr>
          <w:rFonts w:asciiTheme="majorHAnsi" w:hAnsiTheme="majorHAnsi" w:cstheme="majorBidi"/>
          <w:b/>
          <w:bCs/>
          <w:vanish/>
          <w:sz w:val="32"/>
          <w:szCs w:val="32"/>
        </w:rPr>
      </w:pPr>
      <w:bookmarkStart w:id="22" w:name="_Toc32509233"/>
      <w:bookmarkEnd w:id="22"/>
      <w:bookmarkStart w:id="23" w:name="_Toc71642504"/>
      <w:bookmarkEnd w:id="23"/>
      <w:bookmarkStart w:id="24" w:name="_Toc33103361"/>
      <w:bookmarkEnd w:id="24"/>
    </w:p>
    <w:p>
      <w:pPr>
        <w:pStyle w:val="3"/>
        <w:numPr>
          <w:ilvl w:val="0"/>
          <w:numId w:val="0"/>
        </w:numPr>
        <w:ind w:left="425" w:leftChars="0"/>
        <w:rPr>
          <w:rFonts w:hint="default" w:eastAsiaTheme="minorEastAsia"/>
          <w:lang w:val="en-US" w:eastAsia="zh-CN"/>
        </w:rPr>
      </w:pPr>
      <w:bookmarkStart w:id="25" w:name="_Toc29198"/>
      <w:r>
        <w:rPr>
          <w:rFonts w:hint="eastAsia"/>
          <w:lang w:val="en-US" w:eastAsia="zh-CN"/>
        </w:rPr>
        <w:t>2.1 研修时间</w:t>
      </w:r>
      <w:bookmarkEnd w:id="25"/>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pPr>
      <w:r>
        <w:rPr>
          <w:rFonts w:hint="eastAsia"/>
          <w:sz w:val="24"/>
          <w:szCs w:val="24"/>
          <w:lang w:val="en-US" w:eastAsia="zh-CN"/>
        </w:rPr>
        <w:t>暑期研修时间为2022年7月28日至8月31日，教师需在此时间段内，进行在线学习，在这之后将无法继续学习。</w:t>
      </w:r>
    </w:p>
    <w:p>
      <w:pPr>
        <w:pStyle w:val="3"/>
        <w:numPr>
          <w:ilvl w:val="0"/>
          <w:numId w:val="0"/>
        </w:numPr>
        <w:ind w:left="425" w:leftChars="0"/>
        <w:rPr>
          <w:rFonts w:hint="default" w:eastAsiaTheme="minorEastAsia"/>
          <w:lang w:val="en-US" w:eastAsia="zh-CN"/>
        </w:rPr>
      </w:pPr>
      <w:bookmarkStart w:id="26" w:name="_Toc15573"/>
      <w:r>
        <w:rPr>
          <w:rFonts w:hint="eastAsia"/>
          <w:lang w:val="en-US" w:eastAsia="zh-CN"/>
        </w:rPr>
        <w:t>2.2 研修内容</w:t>
      </w:r>
      <w:bookmarkEnd w:id="2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pPr>
      <w:r>
        <w:rPr>
          <w:rFonts w:hint="eastAsia"/>
          <w:sz w:val="24"/>
          <w:szCs w:val="24"/>
          <w:lang w:val="en-US" w:eastAsia="zh-CN"/>
        </w:rPr>
        <w:t>2022年暑期教师研修共有8门课，每门课有若干学习资源，第一门课《深入学习贯彻习近平总书记关于教育的重要论述》和第三门课《新时代教师职业行为十项准则》为必修，其余均为选学资源，教师可根据需要从各门课程中选择资源进行学习。</w:t>
      </w:r>
    </w:p>
    <w:p>
      <w:pPr>
        <w:pStyle w:val="3"/>
        <w:numPr>
          <w:ilvl w:val="0"/>
          <w:numId w:val="0"/>
        </w:numPr>
        <w:ind w:left="425" w:leftChars="0"/>
        <w:rPr>
          <w:rFonts w:hint="default" w:eastAsiaTheme="minorEastAsia"/>
          <w:lang w:val="en-US" w:eastAsia="zh-CN"/>
        </w:rPr>
      </w:pPr>
      <w:bookmarkStart w:id="27" w:name="_Toc25"/>
      <w:r>
        <w:rPr>
          <w:rFonts w:hint="eastAsia"/>
          <w:lang w:val="en-US" w:eastAsia="zh-CN"/>
        </w:rPr>
        <w:t>2.3 研修课程</w:t>
      </w:r>
      <w:bookmarkEnd w:id="27"/>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eastAsia"/>
          <w:sz w:val="24"/>
          <w:szCs w:val="24"/>
          <w:lang w:val="en-US" w:eastAsia="zh-CN"/>
        </w:rPr>
        <w:t>第一步：教师登录后可以在专题首页看到所有课程及学习进度，点击课程名称进入课程页面。</w:t>
      </w:r>
    </w:p>
    <w:p>
      <w:pPr>
        <w:jc w:val="center"/>
        <w:rPr>
          <w:rFonts w:hint="eastAsia" w:eastAsiaTheme="minorEastAsia"/>
          <w:lang w:val="en-US" w:eastAsia="zh-CN"/>
        </w:rPr>
      </w:pPr>
      <w:r>
        <w:drawing>
          <wp:inline distT="0" distB="0" distL="114300" distR="114300">
            <wp:extent cx="5272405" cy="3086735"/>
            <wp:effectExtent l="9525" t="9525" r="13970" b="1841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0"/>
                    <a:stretch>
                      <a:fillRect/>
                    </a:stretch>
                  </pic:blipFill>
                  <pic:spPr>
                    <a:xfrm>
                      <a:off x="0" y="0"/>
                      <a:ext cx="5272405" cy="3086735"/>
                    </a:xfrm>
                    <a:prstGeom prst="rect">
                      <a:avLst/>
                    </a:prstGeom>
                    <a:ln>
                      <a:solidFill>
                        <a:schemeClr val="tx1"/>
                      </a:solidFill>
                    </a:ln>
                  </pic:spPr>
                </pic:pic>
              </a:graphicData>
            </a:graphic>
          </wp:inline>
        </w:drawing>
      </w:r>
    </w:p>
    <w:p>
      <w:pPr>
        <w:pStyle w:val="20"/>
        <w:numPr>
          <w:ilvl w:val="0"/>
          <w:numId w:val="4"/>
        </w:numPr>
        <w:spacing w:before="260" w:after="260" w:line="415" w:lineRule="auto"/>
        <w:ind w:firstLineChars="0"/>
        <w:outlineLvl w:val="1"/>
        <w:rPr>
          <w:rFonts w:asciiTheme="majorHAnsi" w:hAnsiTheme="majorHAnsi" w:cstheme="majorBidi"/>
          <w:b/>
          <w:bCs/>
          <w:vanish/>
          <w:sz w:val="32"/>
          <w:szCs w:val="32"/>
        </w:rPr>
      </w:pPr>
      <w:bookmarkStart w:id="28" w:name="_Toc33103370"/>
      <w:bookmarkEnd w:id="28"/>
      <w:bookmarkStart w:id="29" w:name="_Toc32509242"/>
      <w:bookmarkEnd w:id="29"/>
      <w:bookmarkStart w:id="30" w:name="_Toc71642509"/>
      <w:bookmarkEnd w:id="3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lang w:val="en-US" w:eastAsia="zh-CN"/>
        </w:rPr>
      </w:pPr>
      <w:r>
        <w:rPr>
          <w:rFonts w:hint="eastAsia"/>
          <w:sz w:val="24"/>
          <w:szCs w:val="24"/>
          <w:lang w:val="en-US" w:eastAsia="zh-CN"/>
        </w:rPr>
        <w:t>第二步：进入课程页面后，点击【开始学习】。</w:t>
      </w:r>
    </w:p>
    <w:p>
      <w:pPr>
        <w:jc w:val="center"/>
      </w:pPr>
      <w:r>
        <w:drawing>
          <wp:inline distT="0" distB="0" distL="114300" distR="114300">
            <wp:extent cx="5268595" cy="3179445"/>
            <wp:effectExtent l="9525" t="9525" r="17780" b="1143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1"/>
                    <a:stretch>
                      <a:fillRect/>
                    </a:stretch>
                  </pic:blipFill>
                  <pic:spPr>
                    <a:xfrm>
                      <a:off x="0" y="0"/>
                      <a:ext cx="5268595" cy="3179445"/>
                    </a:xfrm>
                    <a:prstGeom prst="rect">
                      <a:avLst/>
                    </a:prstGeom>
                    <a:ln>
                      <a:solidFill>
                        <a:schemeClr val="tx1"/>
                      </a:solidFill>
                    </a:ln>
                  </pic:spPr>
                </pic:pic>
              </a:graphicData>
            </a:graphic>
          </wp:inline>
        </w:drawing>
      </w:r>
    </w:p>
    <w:p>
      <w:pPr>
        <w:jc w:val="left"/>
        <w:rPr>
          <w:rFonts w:hint="eastAsia"/>
          <w:lang w:val="en-US" w:eastAsia="zh-CN"/>
        </w:rPr>
      </w:pPr>
      <w:r>
        <w:drawing>
          <wp:inline distT="0" distB="0" distL="114300" distR="114300">
            <wp:extent cx="5268595" cy="2480310"/>
            <wp:effectExtent l="9525" t="9525" r="17780" b="1524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2"/>
                    <a:stretch>
                      <a:fillRect/>
                    </a:stretch>
                  </pic:blipFill>
                  <pic:spPr>
                    <a:xfrm>
                      <a:off x="0" y="0"/>
                      <a:ext cx="5268595" cy="2480310"/>
                    </a:xfrm>
                    <a:prstGeom prst="rect">
                      <a:avLst/>
                    </a:prstGeom>
                    <a:ln>
                      <a:solidFill>
                        <a:schemeClr val="tx1"/>
                      </a:solidFill>
                    </a:ln>
                  </pic:spPr>
                </pic:pic>
              </a:graphicData>
            </a:graphic>
          </wp:inline>
        </w:drawing>
      </w:r>
    </w:p>
    <w:p>
      <w:pPr>
        <w:pStyle w:val="2"/>
        <w:numPr>
          <w:ilvl w:val="0"/>
          <w:numId w:val="1"/>
        </w:numPr>
        <w:rPr>
          <w:sz w:val="40"/>
          <w:szCs w:val="40"/>
        </w:rPr>
      </w:pPr>
      <w:bookmarkStart w:id="31" w:name="_创建本级项目"/>
      <w:bookmarkEnd w:id="31"/>
      <w:bookmarkStart w:id="32" w:name="_Toc13171"/>
      <w:r>
        <w:rPr>
          <w:rFonts w:hint="eastAsia"/>
          <w:sz w:val="40"/>
          <w:szCs w:val="40"/>
          <w:lang w:val="en-US" w:eastAsia="zh-CN"/>
        </w:rPr>
        <w:t>证书认证</w:t>
      </w:r>
      <w:bookmarkEnd w:id="32"/>
    </w:p>
    <w:bookmarkEnd w:id="10"/>
    <w:bookmarkEnd w:id="11"/>
    <w:p>
      <w:pPr>
        <w:pStyle w:val="3"/>
        <w:numPr>
          <w:ilvl w:val="1"/>
          <w:numId w:val="3"/>
        </w:numPr>
        <w:ind w:left="992" w:leftChars="0" w:hanging="567" w:firstLineChars="0"/>
        <w:rPr>
          <w:rFonts w:hint="eastAsia"/>
          <w:highlight w:val="yellow"/>
          <w:lang w:val="en-US" w:eastAsia="zh-CN"/>
        </w:rPr>
      </w:pPr>
      <w:bookmarkStart w:id="33" w:name="_Toc10792"/>
      <w:r>
        <w:rPr>
          <w:rFonts w:hint="eastAsia"/>
          <w:highlight w:val="yellow"/>
          <w:lang w:val="en-US" w:eastAsia="zh-CN"/>
        </w:rPr>
        <w:t>学时认定</w:t>
      </w:r>
      <w:bookmarkEnd w:id="33"/>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yellow"/>
          <w:lang w:val="en-US" w:eastAsia="zh-CN"/>
        </w:rPr>
      </w:pPr>
      <w:r>
        <w:rPr>
          <w:rFonts w:hint="eastAsia"/>
          <w:sz w:val="24"/>
          <w:szCs w:val="24"/>
          <w:highlight w:val="yellow"/>
          <w:lang w:val="en-US" w:eastAsia="zh-CN"/>
        </w:rPr>
        <w:t>完成本次暑期教师专题研修，最高可获10学时。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yellow"/>
          <w:lang w:val="en-US" w:eastAsia="zh-CN"/>
        </w:rPr>
      </w:pPr>
      <w:r>
        <w:rPr>
          <w:rFonts w:hint="eastAsia"/>
          <w:sz w:val="24"/>
          <w:szCs w:val="24"/>
          <w:highlight w:val="yellow"/>
          <w:lang w:val="en-US" w:eastAsia="zh-CN"/>
        </w:rPr>
        <w:t>其中，第一门《深入学习贯彻习近平总书记关于教育的重要论述》为必修课，全部学完后可认定1学时。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yellow"/>
          <w:lang w:val="en-US" w:eastAsia="zh-CN"/>
        </w:rPr>
      </w:pPr>
      <w:r>
        <w:rPr>
          <w:rFonts w:hint="eastAsia"/>
          <w:sz w:val="24"/>
          <w:szCs w:val="24"/>
          <w:highlight w:val="yellow"/>
          <w:lang w:val="en-US" w:eastAsia="zh-CN"/>
        </w:rPr>
        <w:t>第二至第七门课程可认定学时上限为1学时</w:t>
      </w:r>
      <w:bookmarkStart w:id="35" w:name="_GoBack"/>
      <w:bookmarkEnd w:id="35"/>
      <w:r>
        <w:rPr>
          <w:rFonts w:hint="eastAsia"/>
          <w:sz w:val="24"/>
          <w:szCs w:val="24"/>
          <w:highlight w:val="yellow"/>
          <w:lang w:val="en-US" w:eastAsia="zh-CN"/>
        </w:rPr>
        <w:t>（在该门课程内完成若干内容、累计不少于45分钟的学习后可获得）。最后一门（第八门）课程可认定学时上限为3学时（在相应课程内完成若干内容、累计不少于135分钟的学习后可获得）。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学时累积到达上限后，您可继续学习，平台将持续为您记录学习时长。</w:t>
      </w:r>
    </w:p>
    <w:p>
      <w:pPr>
        <w:pStyle w:val="3"/>
        <w:numPr>
          <w:ilvl w:val="0"/>
          <w:numId w:val="0"/>
        </w:numPr>
        <w:ind w:left="425" w:leftChars="0"/>
        <w:rPr>
          <w:rFonts w:hint="default" w:eastAsiaTheme="minorEastAsia"/>
          <w:lang w:val="en-US" w:eastAsia="zh-CN"/>
        </w:rPr>
      </w:pPr>
      <w:bookmarkStart w:id="34" w:name="_Toc15149"/>
      <w:r>
        <w:rPr>
          <w:rFonts w:hint="eastAsia"/>
          <w:lang w:val="en-US" w:eastAsia="zh-CN"/>
        </w:rPr>
        <w:t>2.2 结业证书</w:t>
      </w:r>
      <w:bookmarkEnd w:id="3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yellow"/>
          <w:lang w:val="en-US" w:eastAsia="zh-CN"/>
        </w:rPr>
      </w:pPr>
      <w:r>
        <w:rPr>
          <w:rFonts w:hint="eastAsia"/>
          <w:sz w:val="24"/>
          <w:szCs w:val="24"/>
          <w:highlight w:val="yellow"/>
          <w:lang w:val="en-US" w:eastAsia="zh-CN"/>
        </w:rPr>
        <w:t>本次暑期研修完成学习后，提供电子证书，电子学习证书用于培训学时证明，平台将在8月31日后，开放电子证书查询及查看入口。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yellow"/>
          <w:lang w:val="en-US" w:eastAsia="zh-CN"/>
        </w:rPr>
      </w:pPr>
      <w:r>
        <w:rPr>
          <w:rFonts w:hint="eastAsia"/>
          <w:sz w:val="24"/>
          <w:szCs w:val="24"/>
          <w:highlight w:val="yellow"/>
          <w:lang w:val="en-US" w:eastAsia="zh-CN"/>
        </w:rPr>
        <w:t>电子学习证书获得必须条件：获得10学时。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教师持电子学习证书，由学校和地方教育行政部门将所获学时按当地规定计入教师5年360培训学时。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5F7D89"/>
    <w:multiLevelType w:val="multilevel"/>
    <w:tmpl w:val="0B5F7D89"/>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116620A1"/>
    <w:multiLevelType w:val="multilevel"/>
    <w:tmpl w:val="116620A1"/>
    <w:lvl w:ilvl="0" w:tentative="0">
      <w:start w:val="1"/>
      <w:numFmt w:val="japaneseCounting"/>
      <w:lvlText w:val="第%1章"/>
      <w:lvlJc w:val="left"/>
      <w:pPr>
        <w:ind w:left="1545" w:hanging="154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12A1AF6"/>
    <w:multiLevelType w:val="multilevel"/>
    <w:tmpl w:val="712A1AF6"/>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7BA06D01"/>
    <w:multiLevelType w:val="multilevel"/>
    <w:tmpl w:val="7BA06D01"/>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M5ODhiMGUwYTRlZDAyMTI3NDAxOThhOGE3MGEzYjgifQ=="/>
  </w:docVars>
  <w:rsids>
    <w:rsidRoot w:val="00E3210F"/>
    <w:rsid w:val="000162A9"/>
    <w:rsid w:val="00016693"/>
    <w:rsid w:val="0004003D"/>
    <w:rsid w:val="0004777E"/>
    <w:rsid w:val="00060D99"/>
    <w:rsid w:val="00072730"/>
    <w:rsid w:val="00083F0E"/>
    <w:rsid w:val="000853D5"/>
    <w:rsid w:val="000D16BA"/>
    <w:rsid w:val="000F1784"/>
    <w:rsid w:val="0011143E"/>
    <w:rsid w:val="001231F9"/>
    <w:rsid w:val="00123CB9"/>
    <w:rsid w:val="00124CD4"/>
    <w:rsid w:val="00136507"/>
    <w:rsid w:val="001375B6"/>
    <w:rsid w:val="00147E98"/>
    <w:rsid w:val="00170290"/>
    <w:rsid w:val="00170FAB"/>
    <w:rsid w:val="001A405E"/>
    <w:rsid w:val="001C204B"/>
    <w:rsid w:val="001C227F"/>
    <w:rsid w:val="00212FBC"/>
    <w:rsid w:val="002250E2"/>
    <w:rsid w:val="00233162"/>
    <w:rsid w:val="00243FB0"/>
    <w:rsid w:val="002464CF"/>
    <w:rsid w:val="00253086"/>
    <w:rsid w:val="002542D7"/>
    <w:rsid w:val="00266ECD"/>
    <w:rsid w:val="00277AA8"/>
    <w:rsid w:val="00281064"/>
    <w:rsid w:val="002945A7"/>
    <w:rsid w:val="00297D61"/>
    <w:rsid w:val="002C63F6"/>
    <w:rsid w:val="00304314"/>
    <w:rsid w:val="00331B04"/>
    <w:rsid w:val="00354FC9"/>
    <w:rsid w:val="00365B0D"/>
    <w:rsid w:val="00386C19"/>
    <w:rsid w:val="003B10C9"/>
    <w:rsid w:val="003F2D80"/>
    <w:rsid w:val="00427BF2"/>
    <w:rsid w:val="00432D81"/>
    <w:rsid w:val="00446EB9"/>
    <w:rsid w:val="00450A9A"/>
    <w:rsid w:val="00492F1C"/>
    <w:rsid w:val="004A3F50"/>
    <w:rsid w:val="004A4531"/>
    <w:rsid w:val="004B28F7"/>
    <w:rsid w:val="004B4976"/>
    <w:rsid w:val="004C78FD"/>
    <w:rsid w:val="004D6CD3"/>
    <w:rsid w:val="004E51AF"/>
    <w:rsid w:val="004F2F28"/>
    <w:rsid w:val="0052049C"/>
    <w:rsid w:val="00535457"/>
    <w:rsid w:val="005458AB"/>
    <w:rsid w:val="00551DCA"/>
    <w:rsid w:val="00560924"/>
    <w:rsid w:val="005752F5"/>
    <w:rsid w:val="00575F3D"/>
    <w:rsid w:val="005B04C8"/>
    <w:rsid w:val="005F1A59"/>
    <w:rsid w:val="00600582"/>
    <w:rsid w:val="00600CB2"/>
    <w:rsid w:val="00640CC5"/>
    <w:rsid w:val="00655C22"/>
    <w:rsid w:val="00662347"/>
    <w:rsid w:val="0066481B"/>
    <w:rsid w:val="006826B0"/>
    <w:rsid w:val="00683978"/>
    <w:rsid w:val="006A485C"/>
    <w:rsid w:val="006C1DD0"/>
    <w:rsid w:val="0070084B"/>
    <w:rsid w:val="007055EF"/>
    <w:rsid w:val="0072283B"/>
    <w:rsid w:val="00737437"/>
    <w:rsid w:val="007624DF"/>
    <w:rsid w:val="00796FD8"/>
    <w:rsid w:val="007A1C61"/>
    <w:rsid w:val="007B060F"/>
    <w:rsid w:val="007D540D"/>
    <w:rsid w:val="00830A85"/>
    <w:rsid w:val="00835C1F"/>
    <w:rsid w:val="008479CC"/>
    <w:rsid w:val="00855370"/>
    <w:rsid w:val="00896C6B"/>
    <w:rsid w:val="008A7114"/>
    <w:rsid w:val="00907A98"/>
    <w:rsid w:val="00916A7E"/>
    <w:rsid w:val="00920CAA"/>
    <w:rsid w:val="0096276D"/>
    <w:rsid w:val="00972D76"/>
    <w:rsid w:val="00976234"/>
    <w:rsid w:val="009770B2"/>
    <w:rsid w:val="00994F54"/>
    <w:rsid w:val="00997D5A"/>
    <w:rsid w:val="009C3E12"/>
    <w:rsid w:val="009E5A69"/>
    <w:rsid w:val="00A00491"/>
    <w:rsid w:val="00A14197"/>
    <w:rsid w:val="00A159AA"/>
    <w:rsid w:val="00A311F3"/>
    <w:rsid w:val="00A357E3"/>
    <w:rsid w:val="00A50F14"/>
    <w:rsid w:val="00A65345"/>
    <w:rsid w:val="00A77371"/>
    <w:rsid w:val="00AB19F4"/>
    <w:rsid w:val="00AC3449"/>
    <w:rsid w:val="00AE5153"/>
    <w:rsid w:val="00B008CF"/>
    <w:rsid w:val="00B06436"/>
    <w:rsid w:val="00B230AB"/>
    <w:rsid w:val="00B30EEE"/>
    <w:rsid w:val="00B52A57"/>
    <w:rsid w:val="00B62BC5"/>
    <w:rsid w:val="00B676F3"/>
    <w:rsid w:val="00B750B0"/>
    <w:rsid w:val="00B77848"/>
    <w:rsid w:val="00B86410"/>
    <w:rsid w:val="00BB1912"/>
    <w:rsid w:val="00BD56AC"/>
    <w:rsid w:val="00C00BB6"/>
    <w:rsid w:val="00C06C8E"/>
    <w:rsid w:val="00C11032"/>
    <w:rsid w:val="00C17CF4"/>
    <w:rsid w:val="00C23F67"/>
    <w:rsid w:val="00C26BF5"/>
    <w:rsid w:val="00C44DEE"/>
    <w:rsid w:val="00C531AE"/>
    <w:rsid w:val="00C7591A"/>
    <w:rsid w:val="00C75FE7"/>
    <w:rsid w:val="00C7735A"/>
    <w:rsid w:val="00C93D04"/>
    <w:rsid w:val="00CA156D"/>
    <w:rsid w:val="00CC09B6"/>
    <w:rsid w:val="00CD3699"/>
    <w:rsid w:val="00CD486D"/>
    <w:rsid w:val="00CD6F2C"/>
    <w:rsid w:val="00CD771B"/>
    <w:rsid w:val="00CE4259"/>
    <w:rsid w:val="00CF57E7"/>
    <w:rsid w:val="00CF57FB"/>
    <w:rsid w:val="00D00FF1"/>
    <w:rsid w:val="00D0459A"/>
    <w:rsid w:val="00D05AEB"/>
    <w:rsid w:val="00D0608B"/>
    <w:rsid w:val="00D302AB"/>
    <w:rsid w:val="00D31680"/>
    <w:rsid w:val="00D769CD"/>
    <w:rsid w:val="00D95266"/>
    <w:rsid w:val="00DC0B85"/>
    <w:rsid w:val="00DC7F41"/>
    <w:rsid w:val="00DF798A"/>
    <w:rsid w:val="00E1587C"/>
    <w:rsid w:val="00E20104"/>
    <w:rsid w:val="00E3210F"/>
    <w:rsid w:val="00E632EC"/>
    <w:rsid w:val="00EA79AD"/>
    <w:rsid w:val="00EB302E"/>
    <w:rsid w:val="00EC3320"/>
    <w:rsid w:val="00EC3F36"/>
    <w:rsid w:val="00F156E8"/>
    <w:rsid w:val="00F33FBB"/>
    <w:rsid w:val="00F54D66"/>
    <w:rsid w:val="00F704F5"/>
    <w:rsid w:val="00F75B06"/>
    <w:rsid w:val="00FC1CED"/>
    <w:rsid w:val="00FC55CB"/>
    <w:rsid w:val="00FD073A"/>
    <w:rsid w:val="00FD1822"/>
    <w:rsid w:val="00FD2FB5"/>
    <w:rsid w:val="00FF19B9"/>
    <w:rsid w:val="02626A7D"/>
    <w:rsid w:val="03391357"/>
    <w:rsid w:val="06C32FE0"/>
    <w:rsid w:val="0A653D75"/>
    <w:rsid w:val="0CAA1484"/>
    <w:rsid w:val="0CD962EE"/>
    <w:rsid w:val="0D581834"/>
    <w:rsid w:val="0D743F08"/>
    <w:rsid w:val="0E507359"/>
    <w:rsid w:val="14F03352"/>
    <w:rsid w:val="1D612C1C"/>
    <w:rsid w:val="1DA336D3"/>
    <w:rsid w:val="21461079"/>
    <w:rsid w:val="24D53F53"/>
    <w:rsid w:val="272E3011"/>
    <w:rsid w:val="29A227A1"/>
    <w:rsid w:val="29D413F6"/>
    <w:rsid w:val="2BE31F3D"/>
    <w:rsid w:val="32BF0CFB"/>
    <w:rsid w:val="33C37DE7"/>
    <w:rsid w:val="361A2132"/>
    <w:rsid w:val="3CD93CBC"/>
    <w:rsid w:val="3D9526C1"/>
    <w:rsid w:val="44F259C0"/>
    <w:rsid w:val="46D05DCD"/>
    <w:rsid w:val="4B5840A9"/>
    <w:rsid w:val="4FAA3E3E"/>
    <w:rsid w:val="511B682A"/>
    <w:rsid w:val="5AA563CF"/>
    <w:rsid w:val="643F2EF2"/>
    <w:rsid w:val="67030703"/>
    <w:rsid w:val="6A491C16"/>
    <w:rsid w:val="6C9934D1"/>
    <w:rsid w:val="6E542D62"/>
    <w:rsid w:val="733F4721"/>
    <w:rsid w:val="78BB12D5"/>
    <w:rsid w:val="7B722000"/>
    <w:rsid w:val="7EA61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widowControl/>
      <w:spacing w:before="340" w:after="330" w:line="578" w:lineRule="auto"/>
      <w:jc w:val="left"/>
      <w:outlineLvl w:val="0"/>
    </w:pPr>
    <w:rPr>
      <w:b/>
      <w:bCs/>
      <w:kern w:val="44"/>
      <w:sz w:val="44"/>
      <w:szCs w:val="44"/>
    </w:rPr>
  </w:style>
  <w:style w:type="paragraph" w:styleId="3">
    <w:name w:val="heading 2"/>
    <w:basedOn w:val="1"/>
    <w:next w:val="1"/>
    <w:link w:val="19"/>
    <w:unhideWhenUsed/>
    <w:qFormat/>
    <w:uiPriority w:val="9"/>
    <w:pPr>
      <w:widowControl/>
      <w:spacing w:before="260" w:after="260" w:line="415" w:lineRule="auto"/>
      <w:ind w:firstLine="100" w:firstLineChars="100"/>
      <w:jc w:val="left"/>
      <w:outlineLvl w:val="1"/>
    </w:pPr>
    <w:rPr>
      <w:rFonts w:asciiTheme="majorHAnsi" w:hAnsiTheme="majorHAnsi"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2"/>
    <w:unhideWhenUsed/>
    <w:qFormat/>
    <w:uiPriority w:val="9"/>
    <w:pPr>
      <w:widowControl/>
      <w:spacing w:before="280" w:after="290" w:line="377" w:lineRule="auto"/>
      <w:ind w:firstLine="300" w:firstLineChars="300"/>
      <w:jc w:val="left"/>
      <w:outlineLvl w:val="3"/>
    </w:pPr>
    <w:rPr>
      <w:rFonts w:asciiTheme="majorHAnsi" w:hAnsiTheme="majorHAnsi" w:cstheme="majorBidi"/>
      <w:b/>
      <w:bCs/>
      <w:sz w:val="28"/>
      <w:szCs w:val="28"/>
    </w:rPr>
  </w:style>
  <w:style w:type="paragraph" w:styleId="6">
    <w:name w:val="heading 5"/>
    <w:basedOn w:val="1"/>
    <w:next w:val="1"/>
    <w:link w:val="24"/>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25"/>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8">
    <w:name w:val="toc 3"/>
    <w:basedOn w:val="1"/>
    <w:next w:val="1"/>
    <w:unhideWhenUsed/>
    <w:qFormat/>
    <w:uiPriority w:val="39"/>
    <w:pPr>
      <w:ind w:left="840" w:leftChars="400"/>
    </w:pPr>
  </w:style>
  <w:style w:type="paragraph" w:styleId="9">
    <w:name w:val="Balloon Text"/>
    <w:basedOn w:val="1"/>
    <w:link w:val="23"/>
    <w:semiHidden/>
    <w:unhideWhenUsed/>
    <w:qFormat/>
    <w:uiPriority w:val="99"/>
    <w:rPr>
      <w:sz w:val="18"/>
      <w:szCs w:val="18"/>
    </w:rPr>
  </w:style>
  <w:style w:type="paragraph" w:styleId="10">
    <w:name w:val="footer"/>
    <w:basedOn w:val="1"/>
    <w:link w:val="28"/>
    <w:unhideWhenUsed/>
    <w:qFormat/>
    <w:uiPriority w:val="99"/>
    <w:pPr>
      <w:tabs>
        <w:tab w:val="center" w:pos="4153"/>
        <w:tab w:val="right" w:pos="8306"/>
      </w:tabs>
      <w:snapToGrid w:val="0"/>
      <w:jc w:val="left"/>
    </w:pPr>
    <w:rPr>
      <w:sz w:val="18"/>
      <w:szCs w:val="18"/>
    </w:rPr>
  </w:style>
  <w:style w:type="paragraph" w:styleId="11">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style>
  <w:style w:type="paragraph" w:styleId="13">
    <w:name w:val="toc 2"/>
    <w:basedOn w:val="1"/>
    <w:next w:val="1"/>
    <w:unhideWhenUsed/>
    <w:qFormat/>
    <w:uiPriority w:val="39"/>
    <w:pPr>
      <w:ind w:left="420" w:leftChars="200"/>
    </w:p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paragraph" w:styleId="17">
    <w:name w:val="No Spacing"/>
    <w:qFormat/>
    <w:uiPriority w:val="1"/>
    <w:pPr>
      <w:widowControl w:val="0"/>
      <w:spacing w:before="50" w:beforeLines="50" w:after="50" w:afterLines="50"/>
      <w:jc w:val="both"/>
    </w:pPr>
    <w:rPr>
      <w:rFonts w:asciiTheme="minorHAnsi" w:hAnsiTheme="minorHAnsi" w:eastAsiaTheme="minorEastAsia" w:cstheme="minorBidi"/>
      <w:kern w:val="2"/>
      <w:sz w:val="21"/>
      <w:szCs w:val="22"/>
      <w:lang w:val="en-US" w:eastAsia="zh-CN" w:bidi="ar-SA"/>
    </w:rPr>
  </w:style>
  <w:style w:type="character" w:customStyle="1" w:styleId="18">
    <w:name w:val="标题 1 Char"/>
    <w:basedOn w:val="15"/>
    <w:link w:val="2"/>
    <w:qFormat/>
    <w:uiPriority w:val="9"/>
    <w:rPr>
      <w:b/>
      <w:bCs/>
      <w:kern w:val="44"/>
      <w:sz w:val="44"/>
      <w:szCs w:val="44"/>
    </w:rPr>
  </w:style>
  <w:style w:type="character" w:customStyle="1" w:styleId="19">
    <w:name w:val="标题 2 Char"/>
    <w:basedOn w:val="15"/>
    <w:link w:val="3"/>
    <w:qFormat/>
    <w:uiPriority w:val="9"/>
    <w:rPr>
      <w:rFonts w:asciiTheme="majorHAnsi" w:hAnsiTheme="majorHAnsi" w:cstheme="majorBidi"/>
      <w:b/>
      <w:bCs/>
      <w:sz w:val="32"/>
      <w:szCs w:val="32"/>
    </w:rPr>
  </w:style>
  <w:style w:type="paragraph" w:styleId="20">
    <w:name w:val="List Paragraph"/>
    <w:basedOn w:val="1"/>
    <w:qFormat/>
    <w:uiPriority w:val="34"/>
    <w:pPr>
      <w:widowControl/>
      <w:ind w:firstLine="420" w:firstLineChars="200"/>
      <w:jc w:val="left"/>
    </w:pPr>
  </w:style>
  <w:style w:type="character" w:customStyle="1" w:styleId="21">
    <w:name w:val="标题 3 Char"/>
    <w:basedOn w:val="15"/>
    <w:link w:val="4"/>
    <w:qFormat/>
    <w:uiPriority w:val="9"/>
    <w:rPr>
      <w:b/>
      <w:bCs/>
      <w:sz w:val="32"/>
      <w:szCs w:val="32"/>
    </w:rPr>
  </w:style>
  <w:style w:type="character" w:customStyle="1" w:styleId="22">
    <w:name w:val="标题 4 Char"/>
    <w:basedOn w:val="15"/>
    <w:link w:val="5"/>
    <w:qFormat/>
    <w:uiPriority w:val="9"/>
    <w:rPr>
      <w:rFonts w:asciiTheme="majorHAnsi" w:hAnsiTheme="majorHAnsi" w:cstheme="majorBidi"/>
      <w:b/>
      <w:bCs/>
      <w:sz w:val="28"/>
      <w:szCs w:val="28"/>
    </w:rPr>
  </w:style>
  <w:style w:type="character" w:customStyle="1" w:styleId="23">
    <w:name w:val="批注框文本 Char"/>
    <w:basedOn w:val="15"/>
    <w:link w:val="9"/>
    <w:semiHidden/>
    <w:qFormat/>
    <w:uiPriority w:val="99"/>
    <w:rPr>
      <w:sz w:val="18"/>
      <w:szCs w:val="18"/>
    </w:rPr>
  </w:style>
  <w:style w:type="character" w:customStyle="1" w:styleId="24">
    <w:name w:val="标题 5 Char"/>
    <w:basedOn w:val="15"/>
    <w:link w:val="6"/>
    <w:semiHidden/>
    <w:qFormat/>
    <w:uiPriority w:val="9"/>
    <w:rPr>
      <w:b/>
      <w:bCs/>
      <w:sz w:val="28"/>
      <w:szCs w:val="28"/>
    </w:rPr>
  </w:style>
  <w:style w:type="character" w:customStyle="1" w:styleId="25">
    <w:name w:val="标题 6 Char"/>
    <w:basedOn w:val="15"/>
    <w:link w:val="7"/>
    <w:semiHidden/>
    <w:qFormat/>
    <w:uiPriority w:val="9"/>
    <w:rPr>
      <w:rFonts w:asciiTheme="majorHAnsi" w:hAnsiTheme="majorHAnsi" w:eastAsiaTheme="majorEastAsia" w:cstheme="majorBidi"/>
      <w:b/>
      <w:bCs/>
      <w:sz w:val="24"/>
      <w:szCs w:val="24"/>
    </w:rPr>
  </w:style>
  <w:style w:type="paragraph" w:customStyle="1" w:styleId="26">
    <w:name w:val="TOC Heading"/>
    <w:basedOn w:val="2"/>
    <w:next w:val="1"/>
    <w:unhideWhenUsed/>
    <w:qFormat/>
    <w:uiPriority w:val="39"/>
    <w:pPr>
      <w:keepNext/>
      <w:keepLines/>
      <w:spacing w:before="240" w:after="0" w:line="259" w:lineRule="auto"/>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7">
    <w:name w:val="页眉 Char"/>
    <w:basedOn w:val="15"/>
    <w:link w:val="11"/>
    <w:qFormat/>
    <w:uiPriority w:val="99"/>
    <w:rPr>
      <w:sz w:val="18"/>
      <w:szCs w:val="18"/>
    </w:rPr>
  </w:style>
  <w:style w:type="character" w:customStyle="1" w:styleId="28">
    <w:name w:val="页脚 Char"/>
    <w:basedOn w:val="15"/>
    <w:link w:val="10"/>
    <w:qFormat/>
    <w:uiPriority w:val="99"/>
    <w:rPr>
      <w:sz w:val="18"/>
      <w:szCs w:val="18"/>
    </w:rPr>
  </w:style>
  <w:style w:type="character" w:customStyle="1" w:styleId="29">
    <w:name w:val="Unresolved Mention"/>
    <w:basedOn w:val="1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6E36C-8C7C-4648-AFDA-E629F4EE288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1036</Words>
  <Characters>1101</Characters>
  <Lines>159</Lines>
  <Paragraphs>44</Paragraphs>
  <TotalTime>3</TotalTime>
  <ScaleCrop>false</ScaleCrop>
  <LinksUpToDate>false</LinksUpToDate>
  <CharactersWithSpaces>1150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2021-05-10T09:25:00Z</dcterms:created>
  <dc:creator>白 亚楠</dc:creator>
  <cp:lastModifiedBy>huawei</cp:lastModifiedBy>
  <dcterms:modified xsi:type="dcterms:W3CDTF">2022-07-26T07:28:44Z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EF808A87DBF74D68991DDAC2A4B92C48</vt:lpwstr>
  </property>
</Properties>
</file>